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F2" w:rsidRDefault="00AD1144">
      <w:pPr>
        <w:rPr>
          <w:b/>
          <w:sz w:val="28"/>
          <w:szCs w:val="24"/>
          <w:u w:val="single"/>
        </w:rPr>
      </w:pPr>
      <w:r w:rsidRPr="00AD1144">
        <w:rPr>
          <w:b/>
          <w:sz w:val="28"/>
          <w:szCs w:val="24"/>
          <w:u w:val="single"/>
        </w:rPr>
        <w:t xml:space="preserve">Investigating the effectiveness of the </w:t>
      </w:r>
      <w:r w:rsidR="00840602" w:rsidRPr="00AD1144">
        <w:rPr>
          <w:b/>
          <w:sz w:val="28"/>
          <w:szCs w:val="24"/>
          <w:u w:val="single"/>
        </w:rPr>
        <w:t>broad-spectrum</w:t>
      </w:r>
      <w:r w:rsidRPr="00AD1144">
        <w:rPr>
          <w:b/>
          <w:sz w:val="28"/>
          <w:szCs w:val="24"/>
          <w:u w:val="single"/>
        </w:rPr>
        <w:t xml:space="preserve"> antimicrobial agent P-Ag-MSN</w:t>
      </w:r>
    </w:p>
    <w:p w:rsidR="00840602" w:rsidRDefault="00840602">
      <w:pPr>
        <w:rPr>
          <w:sz w:val="24"/>
          <w:szCs w:val="24"/>
        </w:rPr>
      </w:pPr>
      <w:r w:rsidRPr="00840602">
        <w:rPr>
          <w:sz w:val="24"/>
          <w:szCs w:val="24"/>
        </w:rPr>
        <w:t>The effect of different concentrations</w:t>
      </w:r>
      <w:r w:rsidR="008B4DAD">
        <w:rPr>
          <w:sz w:val="24"/>
          <w:szCs w:val="24"/>
        </w:rPr>
        <w:t xml:space="preserve"> </w:t>
      </w:r>
      <w:r w:rsidR="008B4DAD">
        <w:rPr>
          <w:sz w:val="24"/>
          <w:szCs w:val="24"/>
        </w:rPr>
        <w:t>(</w:t>
      </w:r>
      <w:r w:rsidR="008B4DAD">
        <w:rPr>
          <w:rFonts w:cstheme="minorHAnsi"/>
          <w:sz w:val="24"/>
          <w:szCs w:val="24"/>
        </w:rPr>
        <w:t>µ</w:t>
      </w:r>
      <w:r w:rsidR="008B4DAD">
        <w:rPr>
          <w:sz w:val="24"/>
          <w:szCs w:val="24"/>
        </w:rPr>
        <w:t>g/mL)</w:t>
      </w:r>
      <w:r w:rsidRPr="00840602">
        <w:rPr>
          <w:sz w:val="24"/>
          <w:szCs w:val="24"/>
        </w:rPr>
        <w:t xml:space="preserve"> of P-Ag-MSN on the growth of four microbes. </w:t>
      </w:r>
    </w:p>
    <w:p w:rsidR="00840602" w:rsidRPr="00840602" w:rsidRDefault="00840602">
      <w:pPr>
        <w:rPr>
          <w:sz w:val="24"/>
          <w:szCs w:val="24"/>
        </w:rPr>
      </w:pPr>
      <w:r w:rsidRPr="00840602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EEE5A16">
            <wp:simplePos x="0" y="0"/>
            <wp:positionH relativeFrom="margin">
              <wp:posOffset>16510</wp:posOffset>
            </wp:positionH>
            <wp:positionV relativeFrom="paragraph">
              <wp:posOffset>679403</wp:posOffset>
            </wp:positionV>
            <wp:extent cx="6621780" cy="4492625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602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 – this data is a little unusual as the variations of the independent variable (concentration of P-Ag-</w:t>
      </w:r>
      <w:r w:rsidRPr="00AD1144">
        <w:rPr>
          <w:sz w:val="24"/>
          <w:szCs w:val="24"/>
        </w:rPr>
        <w:t>MSN</w:t>
      </w:r>
      <w:r>
        <w:rPr>
          <w:sz w:val="24"/>
          <w:szCs w:val="24"/>
        </w:rPr>
        <w:t>) is not on the x axis. This happens because the effect of the independent variable is measured over time, so the independent variable is shown by the different lines on the graph.</w:t>
      </w:r>
    </w:p>
    <w:p w:rsidR="00EE76F2" w:rsidRPr="00A2615F" w:rsidRDefault="00EE76F2" w:rsidP="00A2615F">
      <w:pPr>
        <w:spacing w:before="240"/>
        <w:rPr>
          <w:i/>
          <w:sz w:val="24"/>
          <w:szCs w:val="24"/>
        </w:rPr>
      </w:pPr>
      <w:r w:rsidRPr="00A2615F">
        <w:rPr>
          <w:i/>
          <w:sz w:val="24"/>
          <w:szCs w:val="24"/>
        </w:rPr>
        <w:t>Figure 1A</w:t>
      </w:r>
      <w:r w:rsidR="00834539" w:rsidRPr="00A2615F">
        <w:rPr>
          <w:i/>
          <w:sz w:val="24"/>
          <w:szCs w:val="24"/>
        </w:rPr>
        <w:t>, 1B, 1C, and 1D</w:t>
      </w:r>
      <w:r w:rsidRPr="00A2615F">
        <w:rPr>
          <w:i/>
          <w:sz w:val="24"/>
          <w:szCs w:val="24"/>
        </w:rPr>
        <w:t xml:space="preserve">. </w:t>
      </w:r>
      <w:r w:rsidR="00AD1144" w:rsidRPr="00A2615F">
        <w:rPr>
          <w:i/>
          <w:sz w:val="24"/>
          <w:szCs w:val="24"/>
        </w:rPr>
        <w:t>G</w:t>
      </w:r>
      <w:r w:rsidRPr="00A2615F">
        <w:rPr>
          <w:i/>
          <w:sz w:val="24"/>
          <w:szCs w:val="24"/>
        </w:rPr>
        <w:t xml:space="preserve">rowth curves of four </w:t>
      </w:r>
      <w:r w:rsidR="00AD1144" w:rsidRPr="00A2615F">
        <w:rPr>
          <w:i/>
          <w:sz w:val="24"/>
          <w:szCs w:val="24"/>
        </w:rPr>
        <w:t>micro-organisms</w:t>
      </w:r>
      <w:r w:rsidRPr="00A2615F">
        <w:rPr>
          <w:i/>
          <w:sz w:val="24"/>
          <w:szCs w:val="24"/>
        </w:rPr>
        <w:t xml:space="preserve"> in various concentrations of </w:t>
      </w:r>
      <w:r w:rsidR="00AD1144" w:rsidRPr="00A2615F">
        <w:rPr>
          <w:i/>
          <w:sz w:val="24"/>
          <w:szCs w:val="24"/>
        </w:rPr>
        <w:t>P-Ag-MSN (</w:t>
      </w:r>
      <w:r w:rsidR="00AD1144" w:rsidRPr="00A2615F">
        <w:rPr>
          <w:i/>
          <w:sz w:val="24"/>
          <w:szCs w:val="24"/>
          <w:u w:val="single"/>
        </w:rPr>
        <w:t>p</w:t>
      </w:r>
      <w:r w:rsidRPr="00A2615F">
        <w:rPr>
          <w:i/>
          <w:sz w:val="24"/>
          <w:szCs w:val="24"/>
        </w:rPr>
        <w:t xml:space="preserve">latelet derived growth factor incorporated into silver </w:t>
      </w:r>
      <w:r w:rsidR="00AD1144" w:rsidRPr="00A2615F">
        <w:rPr>
          <w:i/>
          <w:sz w:val="24"/>
          <w:szCs w:val="24"/>
          <w:u w:val="single"/>
        </w:rPr>
        <w:t>m</w:t>
      </w:r>
      <w:r w:rsidRPr="00A2615F">
        <w:rPr>
          <w:i/>
          <w:sz w:val="24"/>
          <w:szCs w:val="24"/>
        </w:rPr>
        <w:t>e</w:t>
      </w:r>
      <w:r w:rsidR="00AD1144" w:rsidRPr="00A2615F">
        <w:rPr>
          <w:i/>
          <w:sz w:val="24"/>
          <w:szCs w:val="24"/>
          <w:u w:val="single"/>
        </w:rPr>
        <w:t>s</w:t>
      </w:r>
      <w:r w:rsidRPr="00A2615F">
        <w:rPr>
          <w:i/>
          <w:sz w:val="24"/>
          <w:szCs w:val="24"/>
        </w:rPr>
        <w:t xml:space="preserve">opore </w:t>
      </w:r>
      <w:r w:rsidR="00AD1144" w:rsidRPr="00A2615F">
        <w:rPr>
          <w:i/>
          <w:sz w:val="24"/>
          <w:szCs w:val="24"/>
          <w:u w:val="single"/>
        </w:rPr>
        <w:t>n</w:t>
      </w:r>
      <w:r w:rsidRPr="00A2615F">
        <w:rPr>
          <w:i/>
          <w:sz w:val="24"/>
          <w:szCs w:val="24"/>
        </w:rPr>
        <w:t xml:space="preserve">anoparticles). The bacteria were Escherichia coli; </w:t>
      </w:r>
      <w:r w:rsidR="00AD1144" w:rsidRPr="00A2615F">
        <w:rPr>
          <w:bCs/>
          <w:i/>
          <w:sz w:val="24"/>
          <w:szCs w:val="24"/>
        </w:rPr>
        <w:t>Candida</w:t>
      </w:r>
      <w:r w:rsidR="00AD1144" w:rsidRPr="00A2615F">
        <w:rPr>
          <w:b/>
          <w:bCs/>
          <w:i/>
          <w:sz w:val="24"/>
          <w:szCs w:val="24"/>
        </w:rPr>
        <w:t xml:space="preserve"> </w:t>
      </w:r>
      <w:r w:rsidR="00AD1144" w:rsidRPr="00A2615F">
        <w:rPr>
          <w:bCs/>
          <w:i/>
          <w:sz w:val="24"/>
          <w:szCs w:val="24"/>
        </w:rPr>
        <w:t>albicans</w:t>
      </w:r>
      <w:r w:rsidR="00AD1144" w:rsidRPr="00A2615F">
        <w:rPr>
          <w:i/>
          <w:sz w:val="24"/>
          <w:szCs w:val="24"/>
        </w:rPr>
        <w:t>;</w:t>
      </w:r>
      <w:r w:rsidR="00AD1144" w:rsidRPr="00A2615F">
        <w:rPr>
          <w:i/>
        </w:rPr>
        <w:t xml:space="preserve"> </w:t>
      </w:r>
      <w:r w:rsidR="00AD1144" w:rsidRPr="00A2615F">
        <w:rPr>
          <w:i/>
          <w:sz w:val="24"/>
          <w:szCs w:val="24"/>
        </w:rPr>
        <w:t>Pseudomonas aeruginosa; and Staphylococcus aureus.</w:t>
      </w:r>
      <w:r w:rsidR="008B4DAD">
        <w:rPr>
          <w:i/>
          <w:sz w:val="24"/>
          <w:szCs w:val="24"/>
        </w:rPr>
        <w:t xml:space="preserve"> Growth was measured by the OD (Optical Density) of the microbe solution.</w:t>
      </w:r>
    </w:p>
    <w:p w:rsidR="00AD1144" w:rsidRDefault="00834539" w:rsidP="00EE76F2">
      <w:pPr>
        <w:rPr>
          <w:sz w:val="24"/>
          <w:szCs w:val="24"/>
        </w:rPr>
      </w:pPr>
      <w:r>
        <w:rPr>
          <w:sz w:val="24"/>
          <w:szCs w:val="24"/>
        </w:rPr>
        <w:t>The data above was obtained from a study investigating usefulness of P-Ag-</w:t>
      </w:r>
      <w:r w:rsidRPr="00AD1144">
        <w:rPr>
          <w:sz w:val="24"/>
          <w:szCs w:val="24"/>
        </w:rPr>
        <w:t>MSN</w:t>
      </w:r>
      <w:r>
        <w:rPr>
          <w:sz w:val="24"/>
          <w:szCs w:val="24"/>
        </w:rPr>
        <w:t xml:space="preserve"> as a biomedical scaffolding material</w:t>
      </w:r>
      <w:r w:rsidR="00A2615F">
        <w:rPr>
          <w:sz w:val="24"/>
          <w:szCs w:val="24"/>
        </w:rPr>
        <w:t xml:space="preserve"> (</w:t>
      </w:r>
      <w:r w:rsidR="001C420A">
        <w:rPr>
          <w:sz w:val="24"/>
          <w:szCs w:val="24"/>
        </w:rPr>
        <w:t>see reference below</w:t>
      </w:r>
      <w:r w:rsidR="00A2615F">
        <w:t>)</w:t>
      </w:r>
      <w:r>
        <w:rPr>
          <w:sz w:val="24"/>
          <w:szCs w:val="24"/>
        </w:rPr>
        <w:t>. The specific idea behind the research was to investigate if P-Ag-</w:t>
      </w:r>
      <w:r w:rsidRPr="00AD1144">
        <w:rPr>
          <w:sz w:val="24"/>
          <w:szCs w:val="24"/>
        </w:rPr>
        <w:t>MSN</w:t>
      </w:r>
      <w:r>
        <w:rPr>
          <w:sz w:val="24"/>
          <w:szCs w:val="24"/>
        </w:rPr>
        <w:t xml:space="preserve"> would be useful as a scaffold (support structure) to grow human tissue in a lab setting. One of the three factors looked at by the research was the antimicrobial activity of P-Ag-</w:t>
      </w:r>
      <w:r w:rsidRPr="00AD1144">
        <w:rPr>
          <w:sz w:val="24"/>
          <w:szCs w:val="24"/>
        </w:rPr>
        <w:t>MSN</w:t>
      </w:r>
      <w:r>
        <w:rPr>
          <w:sz w:val="24"/>
          <w:szCs w:val="24"/>
        </w:rPr>
        <w:t xml:space="preserve">. </w:t>
      </w:r>
      <w:r w:rsidR="001C420A">
        <w:rPr>
          <w:sz w:val="24"/>
          <w:szCs w:val="24"/>
        </w:rPr>
        <w:t xml:space="preserve">Antimicrobial activity is simply measuring how well something stops the growth of a range of microscopic organisms. </w:t>
      </w:r>
      <w:r w:rsidR="00D33670">
        <w:rPr>
          <w:sz w:val="24"/>
          <w:szCs w:val="24"/>
        </w:rPr>
        <w:t xml:space="preserve">The data above measures the </w:t>
      </w:r>
      <w:r w:rsidR="001C420A">
        <w:rPr>
          <w:sz w:val="24"/>
          <w:szCs w:val="24"/>
        </w:rPr>
        <w:t>effectiveness of P-Ag-MSN at stopping the growth of 3 bacteria (</w:t>
      </w:r>
      <w:r w:rsidR="001C420A" w:rsidRPr="00A2615F">
        <w:rPr>
          <w:i/>
          <w:sz w:val="24"/>
          <w:szCs w:val="24"/>
        </w:rPr>
        <w:t>Escherichia coli; Pseudomonas aeruginosa; and Staphylococcus aureus</w:t>
      </w:r>
      <w:r w:rsidR="001C420A">
        <w:rPr>
          <w:sz w:val="24"/>
          <w:szCs w:val="24"/>
        </w:rPr>
        <w:t>)</w:t>
      </w:r>
      <w:r w:rsidR="00D33670">
        <w:rPr>
          <w:sz w:val="24"/>
          <w:szCs w:val="24"/>
        </w:rPr>
        <w:t>,</w:t>
      </w:r>
      <w:r w:rsidR="001C420A">
        <w:rPr>
          <w:sz w:val="24"/>
          <w:szCs w:val="24"/>
        </w:rPr>
        <w:t xml:space="preserve"> and one common fungus </w:t>
      </w:r>
      <w:r w:rsidR="00D33670">
        <w:rPr>
          <w:sz w:val="24"/>
          <w:szCs w:val="24"/>
        </w:rPr>
        <w:t>(</w:t>
      </w:r>
      <w:r w:rsidR="001C420A" w:rsidRPr="00D33670">
        <w:rPr>
          <w:i/>
          <w:sz w:val="24"/>
          <w:szCs w:val="24"/>
        </w:rPr>
        <w:t>Candida albicans</w:t>
      </w:r>
      <w:r w:rsidR="00D33670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The concentrations mentioned above </w:t>
      </w:r>
      <w:r w:rsidR="00A2615F">
        <w:rPr>
          <w:sz w:val="24"/>
          <w:szCs w:val="24"/>
        </w:rPr>
        <w:t>are in micrograms (</w:t>
      </w:r>
      <w:r w:rsidR="00A2615F">
        <w:rPr>
          <w:rFonts w:cstheme="minorHAnsi"/>
          <w:sz w:val="24"/>
          <w:szCs w:val="24"/>
        </w:rPr>
        <w:t>µ</w:t>
      </w:r>
      <w:r w:rsidR="00A2615F">
        <w:rPr>
          <w:sz w:val="24"/>
          <w:szCs w:val="24"/>
        </w:rPr>
        <w:t>g) of the growth factor per millilitre of the silver mesopore nanoparticles.</w:t>
      </w:r>
    </w:p>
    <w:p w:rsidR="001C420A" w:rsidRPr="001C420A" w:rsidRDefault="001C420A" w:rsidP="00EE76F2">
      <w:pPr>
        <w:rPr>
          <w:b/>
          <w:sz w:val="24"/>
          <w:szCs w:val="24"/>
          <w:lang w:val="fr-FR"/>
        </w:rPr>
      </w:pPr>
      <w:r w:rsidRPr="001C420A">
        <w:rPr>
          <w:b/>
          <w:sz w:val="24"/>
          <w:szCs w:val="24"/>
          <w:lang w:val="fr-FR"/>
        </w:rPr>
        <w:t>Reference</w:t>
      </w:r>
    </w:p>
    <w:p w:rsidR="001C420A" w:rsidRDefault="001C420A" w:rsidP="00EE76F2">
      <w:pPr>
        <w:rPr>
          <w:i/>
        </w:rPr>
      </w:pPr>
      <w:r w:rsidRPr="001C420A">
        <w:rPr>
          <w:i/>
          <w:lang w:val="fr-FR"/>
        </w:rPr>
        <w:t xml:space="preserve">Ma C, Wei Q, Cao B, Cheng X, Tian J, Pu H, et al. </w:t>
      </w:r>
      <w:r w:rsidRPr="00A2615F">
        <w:rPr>
          <w:i/>
        </w:rPr>
        <w:t xml:space="preserve">(2017) A multifunctional bioactive material that stimulates osteogenesis and promotes the vascularization bone marrow stem cells and their resistance to bacterial infection. </w:t>
      </w:r>
      <w:proofErr w:type="spellStart"/>
      <w:r w:rsidRPr="00A2615F">
        <w:rPr>
          <w:i/>
        </w:rPr>
        <w:t>PLoS</w:t>
      </w:r>
      <w:proofErr w:type="spellEnd"/>
      <w:r w:rsidRPr="00A2615F">
        <w:rPr>
          <w:i/>
        </w:rPr>
        <w:t xml:space="preserve"> ONE 12(3): e0172499. </w:t>
      </w:r>
      <w:proofErr w:type="gramStart"/>
      <w:r w:rsidRPr="00A2615F">
        <w:rPr>
          <w:i/>
        </w:rPr>
        <w:t>doi:10.1371/journal.pone</w:t>
      </w:r>
      <w:proofErr w:type="gramEnd"/>
      <w:r w:rsidRPr="00A2615F">
        <w:rPr>
          <w:i/>
        </w:rPr>
        <w:t>.0172499</w:t>
      </w:r>
    </w:p>
    <w:p w:rsidR="00B2062E" w:rsidRPr="00B2062E" w:rsidRDefault="00B2062E" w:rsidP="00EE76F2">
      <w:pPr>
        <w:rPr>
          <w:b/>
          <w:sz w:val="24"/>
          <w:szCs w:val="24"/>
        </w:rPr>
      </w:pPr>
      <w:r w:rsidRPr="00B2062E">
        <w:rPr>
          <w:b/>
          <w:sz w:val="24"/>
          <w:szCs w:val="24"/>
        </w:rPr>
        <w:lastRenderedPageBreak/>
        <w:t>Identifying Trends and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A5206" w:rsidTr="00A5764A">
        <w:trPr>
          <w:trHeight w:val="11713"/>
        </w:trPr>
        <w:tc>
          <w:tcPr>
            <w:tcW w:w="6799" w:type="dxa"/>
          </w:tcPr>
          <w:p w:rsidR="000437FE" w:rsidRPr="000437FE" w:rsidRDefault="000437FE" w:rsidP="003A520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concentration of 100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g/mL</w:t>
            </w:r>
            <w:r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P-Ag-</w:t>
            </w:r>
            <w:r w:rsidRPr="00AD1144">
              <w:rPr>
                <w:sz w:val="24"/>
                <w:szCs w:val="24"/>
              </w:rPr>
              <w:t>MSN</w:t>
            </w:r>
            <w:r>
              <w:rPr>
                <w:sz w:val="24"/>
                <w:szCs w:val="24"/>
              </w:rPr>
              <w:t xml:space="preserve"> was the </w:t>
            </w:r>
            <w:r w:rsidR="00410CD8">
              <w:rPr>
                <w:sz w:val="24"/>
                <w:szCs w:val="24"/>
              </w:rPr>
              <w:t>only</w:t>
            </w:r>
            <w:r>
              <w:rPr>
                <w:sz w:val="24"/>
                <w:szCs w:val="24"/>
              </w:rPr>
              <w:t xml:space="preserve"> concentration which stopped the growth of all four microbes in this investigation. However, the effect of </w:t>
            </w:r>
            <w:r>
              <w:rPr>
                <w:sz w:val="24"/>
                <w:szCs w:val="24"/>
              </w:rPr>
              <w:t>P-Ag-</w:t>
            </w:r>
            <w:r w:rsidRPr="00AD1144">
              <w:rPr>
                <w:sz w:val="24"/>
                <w:szCs w:val="24"/>
              </w:rPr>
              <w:t>MSN</w:t>
            </w:r>
            <w:r>
              <w:rPr>
                <w:sz w:val="24"/>
                <w:szCs w:val="24"/>
              </w:rPr>
              <w:t xml:space="preserve"> on growth was not consistent for all four microbes. </w:t>
            </w:r>
            <w:r>
              <w:rPr>
                <w:sz w:val="24"/>
                <w:szCs w:val="24"/>
              </w:rPr>
              <w:t>P-Ag-</w:t>
            </w:r>
            <w:r w:rsidRPr="00AD1144">
              <w:rPr>
                <w:sz w:val="24"/>
                <w:szCs w:val="24"/>
              </w:rPr>
              <w:t>M</w:t>
            </w:r>
            <w:bookmarkStart w:id="0" w:name="_GoBack"/>
            <w:bookmarkEnd w:id="0"/>
            <w:r w:rsidRPr="00AD1144">
              <w:rPr>
                <w:sz w:val="24"/>
                <w:szCs w:val="24"/>
              </w:rPr>
              <w:t>SN</w:t>
            </w:r>
            <w:r>
              <w:rPr>
                <w:sz w:val="24"/>
                <w:szCs w:val="24"/>
              </w:rPr>
              <w:t xml:space="preserve"> was most effective at reducing growth of E.</w:t>
            </w:r>
            <w:r w:rsidR="00A57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coli, followed by </w:t>
            </w:r>
            <w:r>
              <w:rPr>
                <w:sz w:val="24"/>
                <w:szCs w:val="24"/>
              </w:rPr>
              <w:t>C.</w:t>
            </w:r>
            <w:r w:rsidR="00A57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albicans</w:t>
            </w:r>
            <w:r>
              <w:rPr>
                <w:sz w:val="24"/>
                <w:szCs w:val="24"/>
              </w:rPr>
              <w:t xml:space="preserve">, </w:t>
            </w:r>
            <w:r w:rsidRPr="000437F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="00A5764A">
              <w:rPr>
                <w:sz w:val="24"/>
                <w:szCs w:val="24"/>
              </w:rPr>
              <w:t xml:space="preserve"> </w:t>
            </w:r>
            <w:r w:rsidRPr="000437FE">
              <w:rPr>
                <w:sz w:val="24"/>
                <w:szCs w:val="24"/>
              </w:rPr>
              <w:t>aeruginosa</w:t>
            </w:r>
            <w:r>
              <w:rPr>
                <w:sz w:val="24"/>
                <w:szCs w:val="24"/>
              </w:rPr>
              <w:t xml:space="preserve">, and was least effective for </w:t>
            </w:r>
            <w:r w:rsidRPr="000437F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="00A5764A">
              <w:rPr>
                <w:sz w:val="24"/>
                <w:szCs w:val="24"/>
              </w:rPr>
              <w:t xml:space="preserve"> </w:t>
            </w:r>
            <w:r w:rsidRPr="000437FE">
              <w:rPr>
                <w:sz w:val="24"/>
                <w:szCs w:val="24"/>
              </w:rPr>
              <w:t>aureus</w:t>
            </w:r>
            <w:r>
              <w:rPr>
                <w:sz w:val="24"/>
                <w:szCs w:val="24"/>
              </w:rPr>
              <w:t xml:space="preserve">. Concentrations of 25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g/mL</w:t>
            </w:r>
            <w:r>
              <w:rPr>
                <w:sz w:val="24"/>
                <w:szCs w:val="24"/>
              </w:rPr>
              <w:t xml:space="preserve"> and higher stopped growth in E.</w:t>
            </w:r>
            <w:r w:rsidR="00A57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coli</w:t>
            </w:r>
            <w:r w:rsidR="0068170D">
              <w:rPr>
                <w:sz w:val="24"/>
                <w:szCs w:val="24"/>
              </w:rPr>
              <w:t xml:space="preserve">, concentrations of 50 </w:t>
            </w:r>
            <w:r w:rsidR="0068170D">
              <w:rPr>
                <w:rFonts w:cstheme="minorHAnsi"/>
                <w:sz w:val="24"/>
                <w:szCs w:val="24"/>
              </w:rPr>
              <w:t>µ</w:t>
            </w:r>
            <w:r w:rsidR="0068170D">
              <w:rPr>
                <w:sz w:val="24"/>
                <w:szCs w:val="24"/>
              </w:rPr>
              <w:t>g/mL and higher stopped growth in</w:t>
            </w:r>
            <w:r w:rsidR="0068170D">
              <w:rPr>
                <w:sz w:val="24"/>
                <w:szCs w:val="24"/>
              </w:rPr>
              <w:t xml:space="preserve"> </w:t>
            </w:r>
            <w:r w:rsidR="0068170D">
              <w:rPr>
                <w:sz w:val="24"/>
                <w:szCs w:val="24"/>
              </w:rPr>
              <w:t>C.</w:t>
            </w:r>
            <w:r w:rsidR="00A5764A">
              <w:rPr>
                <w:sz w:val="24"/>
                <w:szCs w:val="24"/>
              </w:rPr>
              <w:t xml:space="preserve"> </w:t>
            </w:r>
            <w:r w:rsidR="0068170D">
              <w:rPr>
                <w:sz w:val="24"/>
                <w:szCs w:val="24"/>
              </w:rPr>
              <w:t>albicans,</w:t>
            </w:r>
            <w:r w:rsidR="0068170D">
              <w:rPr>
                <w:sz w:val="24"/>
                <w:szCs w:val="24"/>
              </w:rPr>
              <w:t xml:space="preserve"> and </w:t>
            </w:r>
            <w:r w:rsidR="0068170D" w:rsidRPr="000437FE">
              <w:rPr>
                <w:sz w:val="24"/>
                <w:szCs w:val="24"/>
              </w:rPr>
              <w:t>P</w:t>
            </w:r>
            <w:r w:rsidR="0068170D">
              <w:rPr>
                <w:sz w:val="24"/>
                <w:szCs w:val="24"/>
              </w:rPr>
              <w:t>.</w:t>
            </w:r>
            <w:r w:rsidR="00A5764A">
              <w:rPr>
                <w:sz w:val="24"/>
                <w:szCs w:val="24"/>
              </w:rPr>
              <w:t xml:space="preserve"> </w:t>
            </w:r>
            <w:r w:rsidR="0068170D" w:rsidRPr="000437FE">
              <w:rPr>
                <w:sz w:val="24"/>
                <w:szCs w:val="24"/>
              </w:rPr>
              <w:t>aeruginosa</w:t>
            </w:r>
            <w:r w:rsidR="0068170D">
              <w:rPr>
                <w:sz w:val="24"/>
                <w:szCs w:val="24"/>
              </w:rPr>
              <w:t xml:space="preserve">, and </w:t>
            </w:r>
            <w:r w:rsidR="0068170D">
              <w:rPr>
                <w:sz w:val="24"/>
                <w:szCs w:val="24"/>
              </w:rPr>
              <w:t xml:space="preserve">only a concentration of 100 </w:t>
            </w:r>
            <w:r w:rsidR="0068170D">
              <w:rPr>
                <w:rFonts w:cstheme="minorHAnsi"/>
                <w:sz w:val="24"/>
                <w:szCs w:val="24"/>
              </w:rPr>
              <w:t>µ</w:t>
            </w:r>
            <w:r w:rsidR="0068170D">
              <w:rPr>
                <w:sz w:val="24"/>
                <w:szCs w:val="24"/>
              </w:rPr>
              <w:t xml:space="preserve">g/mL was least effective </w:t>
            </w:r>
            <w:r w:rsidR="0068170D">
              <w:rPr>
                <w:sz w:val="24"/>
                <w:szCs w:val="24"/>
              </w:rPr>
              <w:t xml:space="preserve">at stopping growth for </w:t>
            </w:r>
            <w:r w:rsidR="0068170D" w:rsidRPr="000437FE">
              <w:rPr>
                <w:sz w:val="24"/>
                <w:szCs w:val="24"/>
              </w:rPr>
              <w:t>S</w:t>
            </w:r>
            <w:r w:rsidR="0068170D">
              <w:rPr>
                <w:sz w:val="24"/>
                <w:szCs w:val="24"/>
              </w:rPr>
              <w:t>.</w:t>
            </w:r>
            <w:r w:rsidR="00A5764A">
              <w:rPr>
                <w:sz w:val="24"/>
                <w:szCs w:val="24"/>
              </w:rPr>
              <w:t xml:space="preserve"> </w:t>
            </w:r>
            <w:r w:rsidR="0068170D" w:rsidRPr="000437FE">
              <w:rPr>
                <w:sz w:val="24"/>
                <w:szCs w:val="24"/>
              </w:rPr>
              <w:t>aureus</w:t>
            </w:r>
            <w:r w:rsidR="0068170D">
              <w:rPr>
                <w:sz w:val="24"/>
                <w:szCs w:val="24"/>
              </w:rPr>
              <w:t>.</w:t>
            </w:r>
          </w:p>
          <w:p w:rsidR="003A5206" w:rsidRDefault="003A5206" w:rsidP="003A520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the concentration of P-Ag-</w:t>
            </w:r>
            <w:r w:rsidRPr="00AD1144">
              <w:rPr>
                <w:sz w:val="24"/>
                <w:szCs w:val="24"/>
              </w:rPr>
              <w:t>MSN</w:t>
            </w:r>
            <w:r>
              <w:rPr>
                <w:sz w:val="24"/>
                <w:szCs w:val="24"/>
              </w:rPr>
              <w:t xml:space="preserve"> increased, the growth of E.</w:t>
            </w:r>
            <w:r w:rsidR="00A57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coli decreased. At concentrations of 25, 50, and 100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g/mL, there was no growth in the E. Coli samples</w:t>
            </w:r>
            <w:r w:rsidR="0068170D">
              <w:rPr>
                <w:sz w:val="24"/>
                <w:szCs w:val="24"/>
              </w:rPr>
              <w:t>. A</w:t>
            </w:r>
            <w:r>
              <w:rPr>
                <w:sz w:val="24"/>
                <w:szCs w:val="24"/>
              </w:rPr>
              <w:t>t these concentrations the OD actually decreased slightly over time</w:t>
            </w:r>
            <w:r w:rsidR="0068170D">
              <w:rPr>
                <w:sz w:val="24"/>
                <w:szCs w:val="24"/>
              </w:rPr>
              <w:t xml:space="preserve"> to approximately zero. </w:t>
            </w:r>
            <w:r>
              <w:rPr>
                <w:sz w:val="24"/>
                <w:szCs w:val="24"/>
              </w:rPr>
              <w:t xml:space="preserve">At a concentration of 12.5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g/mL of P-Ag-</w:t>
            </w:r>
            <w:r w:rsidRPr="00AD1144">
              <w:rPr>
                <w:sz w:val="24"/>
                <w:szCs w:val="24"/>
              </w:rPr>
              <w:t>MSN</w:t>
            </w:r>
            <w:r>
              <w:rPr>
                <w:sz w:val="24"/>
                <w:szCs w:val="24"/>
              </w:rPr>
              <w:t>, the growth of E.</w:t>
            </w:r>
            <w:r w:rsidR="00A57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coli was similar, but slightly less than the control sample which had no P-Ag-</w:t>
            </w:r>
            <w:r w:rsidRPr="00AD1144">
              <w:rPr>
                <w:sz w:val="24"/>
                <w:szCs w:val="24"/>
              </w:rPr>
              <w:t>MSN</w:t>
            </w:r>
            <w:r>
              <w:rPr>
                <w:sz w:val="24"/>
                <w:szCs w:val="24"/>
              </w:rPr>
              <w:t xml:space="preserve">. The maximum OD reached by the 12.5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 xml:space="preserve">g/mL was 0.65 after nine hours, compared to the control sample which reached an OD of 0.8. </w:t>
            </w:r>
          </w:p>
          <w:p w:rsidR="003A5206" w:rsidRDefault="003A5206" w:rsidP="003A520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the concentration of P-Ag-</w:t>
            </w:r>
            <w:r w:rsidRPr="00AD1144">
              <w:rPr>
                <w:sz w:val="24"/>
                <w:szCs w:val="24"/>
              </w:rPr>
              <w:t>MSN</w:t>
            </w:r>
            <w:r>
              <w:rPr>
                <w:sz w:val="24"/>
                <w:szCs w:val="24"/>
              </w:rPr>
              <w:t xml:space="preserve"> increased, the growth of C.</w:t>
            </w:r>
            <w:r w:rsidR="00A57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albicans decreased. At concentrations of 50 and 100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g/mL, there was no growth in the E. Coli samples, and the OD actually decreased slightly over time</w:t>
            </w:r>
            <w:r w:rsidR="0068170D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approximately zero</w:t>
            </w:r>
            <w:r w:rsidR="0068170D">
              <w:rPr>
                <w:sz w:val="24"/>
                <w:szCs w:val="24"/>
              </w:rPr>
              <w:t xml:space="preserve"> after twelve hours</w:t>
            </w:r>
            <w:r>
              <w:rPr>
                <w:sz w:val="24"/>
                <w:szCs w:val="24"/>
              </w:rPr>
              <w:t xml:space="preserve">. At a concentration of 12.5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 xml:space="preserve">g/mL the pattern of growth was similar to, but slightly less than the control. </w:t>
            </w:r>
            <w:r>
              <w:rPr>
                <w:sz w:val="24"/>
                <w:szCs w:val="24"/>
              </w:rPr>
              <w:t>At this concentration, the OD after twelve hours was 0.65, which was only slightly less than the control value of 0.7.</w:t>
            </w:r>
            <w:r w:rsidR="000437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At a concentration of 25 </w:t>
            </w:r>
            <w:r>
              <w:rPr>
                <w:rFonts w:cstheme="minorHAnsi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g/mL the growth of C.</w:t>
            </w:r>
            <w:r w:rsidR="00A57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albicans was </w:t>
            </w:r>
            <w:r w:rsidR="000437FE">
              <w:rPr>
                <w:sz w:val="24"/>
                <w:szCs w:val="24"/>
              </w:rPr>
              <w:t xml:space="preserve">also similar to the control, but significant less growth than it.  </w:t>
            </w:r>
            <w:r w:rsidR="000437FE">
              <w:rPr>
                <w:sz w:val="24"/>
                <w:szCs w:val="24"/>
              </w:rPr>
              <w:t xml:space="preserve">At this concentration, the OD after twelve hours was 0.5, </w:t>
            </w:r>
            <w:r w:rsidR="000437FE">
              <w:rPr>
                <w:sz w:val="24"/>
                <w:szCs w:val="24"/>
              </w:rPr>
              <w:t xml:space="preserve">compared to the </w:t>
            </w:r>
            <w:r w:rsidR="000437FE">
              <w:rPr>
                <w:sz w:val="24"/>
                <w:szCs w:val="24"/>
              </w:rPr>
              <w:t>control value of 0.7.</w:t>
            </w:r>
          </w:p>
          <w:p w:rsidR="00A5764A" w:rsidRPr="00A5764A" w:rsidRDefault="00A5764A" w:rsidP="003A5206">
            <w:pPr>
              <w:spacing w:after="240"/>
              <w:rPr>
                <w:sz w:val="24"/>
                <w:szCs w:val="24"/>
                <w:u w:val="single"/>
              </w:rPr>
            </w:pPr>
            <w:r w:rsidRPr="00A5764A">
              <w:rPr>
                <w:sz w:val="24"/>
                <w:szCs w:val="24"/>
                <w:u w:val="single"/>
              </w:rPr>
              <w:t>Try writing the other two paragraphs.</w:t>
            </w:r>
          </w:p>
        </w:tc>
        <w:tc>
          <w:tcPr>
            <w:tcW w:w="3657" w:type="dxa"/>
          </w:tcPr>
          <w:p w:rsidR="003A5206" w:rsidRP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  <w:r w:rsidRPr="0068170D">
              <w:rPr>
                <w:i/>
                <w:sz w:val="20"/>
                <w:szCs w:val="20"/>
              </w:rPr>
              <w:t>Most important trend is to overall trend in the four graphs together, so this is the first trend identified</w:t>
            </w:r>
          </w:p>
          <w:p w:rsidR="0068170D" w:rsidRP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  <w:r w:rsidRPr="0068170D">
              <w:rPr>
                <w:i/>
                <w:sz w:val="20"/>
                <w:szCs w:val="20"/>
              </w:rPr>
              <w:t>First simple sentence statement of trend.</w:t>
            </w:r>
          </w:p>
          <w:p w:rsidR="0068170D" w:rsidRP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  <w:r w:rsidRPr="0068170D">
              <w:rPr>
                <w:i/>
                <w:sz w:val="20"/>
                <w:szCs w:val="20"/>
              </w:rPr>
              <w:t>Description of trend in more detail.</w:t>
            </w:r>
          </w:p>
          <w:p w:rsid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  <w:r w:rsidRPr="0068170D">
              <w:rPr>
                <w:i/>
                <w:sz w:val="20"/>
                <w:szCs w:val="20"/>
              </w:rPr>
              <w:t xml:space="preserve">Data to support the identification </w:t>
            </w:r>
          </w:p>
          <w:p w:rsidR="0068170D" w:rsidRPr="0068170D" w:rsidRDefault="0068170D" w:rsidP="00A5764A">
            <w:pPr>
              <w:spacing w:after="120"/>
              <w:rPr>
                <w:sz w:val="20"/>
                <w:szCs w:val="20"/>
              </w:rPr>
            </w:pPr>
            <w:r w:rsidRPr="0068170D">
              <w:rPr>
                <w:sz w:val="20"/>
                <w:szCs w:val="20"/>
              </w:rPr>
              <w:t>The rest of the trends are specific to each graph</w:t>
            </w:r>
            <w:r>
              <w:rPr>
                <w:sz w:val="20"/>
                <w:szCs w:val="20"/>
              </w:rPr>
              <w:t xml:space="preserve"> and equally as important – so they are listed in order of the graphs</w:t>
            </w:r>
          </w:p>
          <w:p w:rsid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First is a simple statement of the trend in graph A.</w:t>
            </w:r>
          </w:p>
          <w:p w:rsid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Description of the trend in more detail – supported by data</w:t>
            </w:r>
          </w:p>
          <w:p w:rsid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More description of the trend – also with data to support it</w:t>
            </w:r>
          </w:p>
          <w:p w:rsidR="0068170D" w:rsidRDefault="0068170D" w:rsidP="003A5206">
            <w:pPr>
              <w:spacing w:after="240"/>
              <w:rPr>
                <w:i/>
                <w:sz w:val="20"/>
                <w:szCs w:val="20"/>
              </w:rPr>
            </w:pPr>
          </w:p>
          <w:p w:rsidR="0068170D" w:rsidRDefault="0068170D" w:rsidP="0068170D">
            <w:pPr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First is a simple statement of the trend in graph A.</w:t>
            </w:r>
          </w:p>
          <w:p w:rsidR="0068170D" w:rsidRDefault="0068170D" w:rsidP="0068170D">
            <w:pPr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Description of the trend in more detail – supported by data</w:t>
            </w:r>
          </w:p>
          <w:p w:rsidR="0068170D" w:rsidRDefault="0068170D" w:rsidP="0068170D">
            <w:pPr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More description of the trend – also with data to support it</w:t>
            </w:r>
          </w:p>
          <w:p w:rsidR="00A5764A" w:rsidRPr="0068170D" w:rsidRDefault="00A5764A" w:rsidP="0068170D">
            <w:pPr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More description of the trend – also with data to support it</w:t>
            </w:r>
          </w:p>
        </w:tc>
      </w:tr>
    </w:tbl>
    <w:p w:rsidR="003A5206" w:rsidRDefault="003A5206" w:rsidP="00EE76F2">
      <w:pPr>
        <w:rPr>
          <w:sz w:val="24"/>
          <w:szCs w:val="24"/>
        </w:rPr>
      </w:pPr>
    </w:p>
    <w:p w:rsidR="00DE7467" w:rsidRDefault="003A5206" w:rsidP="00EE76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062E" w:rsidRDefault="00B2062E" w:rsidP="00EE76F2">
      <w:pPr>
        <w:rPr>
          <w:sz w:val="24"/>
          <w:szCs w:val="24"/>
        </w:rPr>
      </w:pPr>
    </w:p>
    <w:p w:rsidR="00B2062E" w:rsidRDefault="00B2062E" w:rsidP="00EE76F2">
      <w:pPr>
        <w:rPr>
          <w:sz w:val="24"/>
          <w:szCs w:val="24"/>
        </w:rPr>
      </w:pPr>
    </w:p>
    <w:p w:rsidR="00B2062E" w:rsidRPr="00EE76F2" w:rsidRDefault="00B2062E" w:rsidP="00EE76F2">
      <w:pPr>
        <w:rPr>
          <w:sz w:val="24"/>
          <w:szCs w:val="24"/>
        </w:rPr>
      </w:pPr>
    </w:p>
    <w:sectPr w:rsidR="00B2062E" w:rsidRPr="00EE76F2" w:rsidSect="00AD1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2"/>
    <w:rsid w:val="000437FE"/>
    <w:rsid w:val="001C420A"/>
    <w:rsid w:val="002F7A3D"/>
    <w:rsid w:val="00365C77"/>
    <w:rsid w:val="003A5206"/>
    <w:rsid w:val="00410CD8"/>
    <w:rsid w:val="00531FCA"/>
    <w:rsid w:val="00655D82"/>
    <w:rsid w:val="0068170D"/>
    <w:rsid w:val="00834539"/>
    <w:rsid w:val="00840602"/>
    <w:rsid w:val="008B4DAD"/>
    <w:rsid w:val="00A2615F"/>
    <w:rsid w:val="00A5764A"/>
    <w:rsid w:val="00AC456E"/>
    <w:rsid w:val="00AD1144"/>
    <w:rsid w:val="00B2062E"/>
    <w:rsid w:val="00D33670"/>
    <w:rsid w:val="00DE7467"/>
    <w:rsid w:val="00E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DC50"/>
  <w15:chartTrackingRefBased/>
  <w15:docId w15:val="{0D60DA78-2038-45B9-AD5B-5B284B46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5</cp:revision>
  <dcterms:created xsi:type="dcterms:W3CDTF">2021-07-07T07:01:00Z</dcterms:created>
  <dcterms:modified xsi:type="dcterms:W3CDTF">2021-07-19T11:29:00Z</dcterms:modified>
</cp:coreProperties>
</file>